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1C77" w:rsidRPr="00D70AFE" w:rsidRDefault="00D70AFE">
      <w:pPr>
        <w:rPr>
          <w:b/>
        </w:rPr>
      </w:pPr>
      <w:r w:rsidRPr="00D70AFE">
        <w:rPr>
          <w:b/>
        </w:rPr>
        <w:t>Aanvullende toelichting bij de circulaire notariaat 2019</w:t>
      </w:r>
    </w:p>
    <w:p w:rsidR="00506AF9" w:rsidRDefault="00506AF9">
      <w:r>
        <w:t>In januari 2019</w:t>
      </w:r>
      <w:r w:rsidR="00D70AFE">
        <w:t xml:space="preserve"> hebben wij de circulaire notariaat 2019 gepubliceerd. Hierbij is aangegeven dat de wijzigingen ten opzichte van voorgaand jaar met name </w:t>
      </w:r>
      <w:r>
        <w:t xml:space="preserve">betrekking hebben op gewijzigde wetgeving voor accountants. </w:t>
      </w:r>
      <w:r w:rsidR="0088017F">
        <w:t xml:space="preserve">Inhoudelijk zijn de werkzaamheden niet significant gewijzigd, maar het heeft er wel toe </w:t>
      </w:r>
      <w:r>
        <w:t xml:space="preserve">geleid dat </w:t>
      </w:r>
      <w:r w:rsidR="0088017F">
        <w:t>ze meer</w:t>
      </w:r>
      <w:r>
        <w:t xml:space="preserve"> expliciet zijn uitgevraagd.</w:t>
      </w:r>
      <w:r w:rsidR="002E0C46">
        <w:t xml:space="preserve"> </w:t>
      </w:r>
      <w:r w:rsidR="004A2702">
        <w:t xml:space="preserve">We lichten de wijzigingen toe die in de praktijk tot vragen </w:t>
      </w:r>
      <w:r w:rsidR="0088017F">
        <w:t>hebben geleid</w:t>
      </w:r>
      <w:r w:rsidR="004A2702">
        <w:t>:</w:t>
      </w:r>
      <w:r w:rsidR="002E0C46">
        <w:t xml:space="preserve"> </w:t>
      </w:r>
    </w:p>
    <w:tbl>
      <w:tblPr>
        <w:tblStyle w:val="Tabelraster"/>
        <w:tblW w:w="0" w:type="auto"/>
        <w:tblLook w:val="04A0" w:firstRow="1" w:lastRow="0" w:firstColumn="1" w:lastColumn="0" w:noHBand="0" w:noVBand="1"/>
      </w:tblPr>
      <w:tblGrid>
        <w:gridCol w:w="421"/>
        <w:gridCol w:w="3543"/>
        <w:gridCol w:w="4820"/>
      </w:tblGrid>
      <w:tr w:rsidR="005D558F" w:rsidRPr="005D558F" w:rsidTr="0088017F">
        <w:tc>
          <w:tcPr>
            <w:tcW w:w="421" w:type="dxa"/>
            <w:shd w:val="clear" w:color="auto" w:fill="F2F2F2" w:themeFill="background1" w:themeFillShade="F2"/>
          </w:tcPr>
          <w:p w:rsidR="005D558F" w:rsidRPr="005D558F" w:rsidRDefault="005D558F" w:rsidP="002E0C46">
            <w:pPr>
              <w:rPr>
                <w:b/>
              </w:rPr>
            </w:pPr>
          </w:p>
        </w:tc>
        <w:tc>
          <w:tcPr>
            <w:tcW w:w="3543" w:type="dxa"/>
            <w:shd w:val="clear" w:color="auto" w:fill="F2F2F2" w:themeFill="background1" w:themeFillShade="F2"/>
          </w:tcPr>
          <w:p w:rsidR="005D558F" w:rsidRPr="005D558F" w:rsidRDefault="005D558F" w:rsidP="002E0C46">
            <w:pPr>
              <w:rPr>
                <w:b/>
              </w:rPr>
            </w:pPr>
            <w:r w:rsidRPr="005D558F">
              <w:rPr>
                <w:b/>
              </w:rPr>
              <w:t>Wijziging</w:t>
            </w:r>
          </w:p>
        </w:tc>
        <w:tc>
          <w:tcPr>
            <w:tcW w:w="4820" w:type="dxa"/>
            <w:shd w:val="clear" w:color="auto" w:fill="F2F2F2" w:themeFill="background1" w:themeFillShade="F2"/>
          </w:tcPr>
          <w:p w:rsidR="005D558F" w:rsidRPr="005D558F" w:rsidRDefault="005D558F" w:rsidP="002E0C46">
            <w:pPr>
              <w:rPr>
                <w:b/>
              </w:rPr>
            </w:pPr>
            <w:r w:rsidRPr="005D558F">
              <w:rPr>
                <w:b/>
              </w:rPr>
              <w:t>Toelichting</w:t>
            </w:r>
          </w:p>
        </w:tc>
      </w:tr>
      <w:tr w:rsidR="002E0C46" w:rsidTr="0088017F">
        <w:tc>
          <w:tcPr>
            <w:tcW w:w="421" w:type="dxa"/>
          </w:tcPr>
          <w:p w:rsidR="002E0C46" w:rsidRDefault="002E0C46" w:rsidP="002E0C46">
            <w:r>
              <w:t>1.</w:t>
            </w:r>
          </w:p>
        </w:tc>
        <w:tc>
          <w:tcPr>
            <w:tcW w:w="3543" w:type="dxa"/>
          </w:tcPr>
          <w:p w:rsidR="002E0C46" w:rsidRPr="002E0C46" w:rsidRDefault="002E0C46" w:rsidP="002E0C46">
            <w:pPr>
              <w:rPr>
                <w:b/>
              </w:rPr>
            </w:pPr>
            <w:r w:rsidRPr="002E0C46">
              <w:rPr>
                <w:b/>
              </w:rPr>
              <w:t>Derdengeldrekening art. 25 Wna</w:t>
            </w:r>
          </w:p>
          <w:p w:rsidR="002E0C46" w:rsidRDefault="00584A7C" w:rsidP="00584A7C">
            <w:r>
              <w:t>Er is verduidelijkt</w:t>
            </w:r>
            <w:r w:rsidR="002B63A6">
              <w:t xml:space="preserve"> dat </w:t>
            </w:r>
            <w:r w:rsidR="004F0957">
              <w:t>voor de vaststelling dat een derdengeldrekening voldoet</w:t>
            </w:r>
            <w:r w:rsidR="00420ECA">
              <w:t xml:space="preserve"> aan de vereisten van art. 25 Wn</w:t>
            </w:r>
            <w:r w:rsidR="004F0957">
              <w:t xml:space="preserve">a </w:t>
            </w:r>
            <w:r w:rsidR="008F1B44">
              <w:t>een ‘</w:t>
            </w:r>
            <w:r w:rsidR="008F1B44" w:rsidRPr="00D542A0">
              <w:t>mededeling van de bank</w:t>
            </w:r>
            <w:r w:rsidR="008F1B44">
              <w:t>’ aanwezig moet zijn</w:t>
            </w:r>
            <w:r w:rsidR="005D558F">
              <w:t>.</w:t>
            </w:r>
          </w:p>
        </w:tc>
        <w:tc>
          <w:tcPr>
            <w:tcW w:w="4820" w:type="dxa"/>
          </w:tcPr>
          <w:p w:rsidR="002E0C46" w:rsidRDefault="005D558F" w:rsidP="008F1B44">
            <w:r>
              <w:t>Deze mededeling kan een standaardbankverklaring</w:t>
            </w:r>
            <w:r w:rsidR="008F1B44">
              <w:t xml:space="preserve"> zijn</w:t>
            </w:r>
            <w:r>
              <w:t>, maar kan ook zijn de overeenkomst met de bank (datum</w:t>
            </w:r>
            <w:r w:rsidR="004A2702">
              <w:t xml:space="preserve"> noemen</w:t>
            </w:r>
            <w:r>
              <w:t xml:space="preserve">) </w:t>
            </w:r>
            <w:r w:rsidR="00D542A0">
              <w:t>van deze rekening aangevuld met tenaamstelling (bijv. vermelding ‘derdengeldrekening’)</w:t>
            </w:r>
            <w:r>
              <w:t>. In het rapport v</w:t>
            </w:r>
            <w:r w:rsidR="00EC5D70">
              <w:t xml:space="preserve">an feitelijke bevindingen wordt opgenomen op basis van </w:t>
            </w:r>
            <w:r>
              <w:t>welk document</w:t>
            </w:r>
            <w:r w:rsidR="00D542A0">
              <w:t xml:space="preserve"> (van de bank)</w:t>
            </w:r>
            <w:r>
              <w:t xml:space="preserve"> </w:t>
            </w:r>
            <w:r w:rsidR="00EC5D70">
              <w:t>de accountant</w:t>
            </w:r>
            <w:r>
              <w:t xml:space="preserve"> dit heeft vastgesteld.</w:t>
            </w:r>
          </w:p>
        </w:tc>
      </w:tr>
      <w:tr w:rsidR="002E0C46" w:rsidTr="0088017F">
        <w:tc>
          <w:tcPr>
            <w:tcW w:w="421" w:type="dxa"/>
          </w:tcPr>
          <w:p w:rsidR="002E0C46" w:rsidRDefault="005D558F" w:rsidP="002E0C46">
            <w:r>
              <w:t>2.</w:t>
            </w:r>
          </w:p>
        </w:tc>
        <w:tc>
          <w:tcPr>
            <w:tcW w:w="3543" w:type="dxa"/>
          </w:tcPr>
          <w:p w:rsidR="002E0C46" w:rsidRPr="00FB247C" w:rsidRDefault="00D542A0" w:rsidP="002E0C46">
            <w:pPr>
              <w:rPr>
                <w:b/>
              </w:rPr>
            </w:pPr>
            <w:r w:rsidRPr="00FB247C">
              <w:rPr>
                <w:b/>
              </w:rPr>
              <w:t xml:space="preserve">Servicebureau geautomatiseerde omgeving </w:t>
            </w:r>
          </w:p>
          <w:p w:rsidR="00D542A0" w:rsidRDefault="0022332C" w:rsidP="002E0C46">
            <w:r>
              <w:t>Ter verduidelijking is dit jaar een voorbeeld van een verklaring opgenomen ‘zoals een 3402 type 2 verklaring’</w:t>
            </w:r>
            <w:r w:rsidR="00FB247C">
              <w:t>.</w:t>
            </w:r>
          </w:p>
        </w:tc>
        <w:tc>
          <w:tcPr>
            <w:tcW w:w="4820" w:type="dxa"/>
          </w:tcPr>
          <w:p w:rsidR="00EC5D70" w:rsidRDefault="00FB247C" w:rsidP="00EC5D70">
            <w:r>
              <w:t xml:space="preserve">Als er uitbesteed is aan een servicebureau moet er ook voldoende zekerheid / control zijn dat dit betrouwbaar en in continuïteit geschiedt (art. 7 Administratieverordening). </w:t>
            </w:r>
          </w:p>
          <w:p w:rsidR="002E0C46" w:rsidRDefault="00FB247C" w:rsidP="00584A7C">
            <w:r>
              <w:t>De feitelijke situatie (wat is er uitbesteed, wat zijn de risico’s, hoe worden deze risico’s gemitigeerd)</w:t>
            </w:r>
            <w:r w:rsidR="0088017F">
              <w:t xml:space="preserve"> waarin dit door d</w:t>
            </w:r>
            <w:r>
              <w:t xml:space="preserve">e notaris </w:t>
            </w:r>
            <w:r w:rsidR="008F1B44">
              <w:t xml:space="preserve">wordt </w:t>
            </w:r>
            <w:r w:rsidR="0088017F">
              <w:t>gewaarborgd</w:t>
            </w:r>
            <w:r w:rsidR="00584A7C">
              <w:t>,</w:t>
            </w:r>
            <w:r w:rsidR="0088017F">
              <w:t xml:space="preserve"> is relevant</w:t>
            </w:r>
            <w:r>
              <w:t xml:space="preserve">. </w:t>
            </w:r>
            <w:r w:rsidR="00EC5D70">
              <w:t xml:space="preserve">Dit kan door </w:t>
            </w:r>
            <w:r>
              <w:t xml:space="preserve">een 3402 verklaring, maar </w:t>
            </w:r>
            <w:r w:rsidR="00EC5D70">
              <w:t>dit kunnen ook andere verklaringen en/of service level agreemen</w:t>
            </w:r>
            <w:r w:rsidR="00584A7C">
              <w:t>t</w:t>
            </w:r>
            <w:r w:rsidR="00420ECA">
              <w:t>s</w:t>
            </w:r>
            <w:r w:rsidR="00584A7C">
              <w:t xml:space="preserve"> zijn. Als er geen verklaring</w:t>
            </w:r>
            <w:r w:rsidR="00EC5D70">
              <w:t xml:space="preserve"> van</w:t>
            </w:r>
            <w:r w:rsidR="00584A7C">
              <w:t xml:space="preserve"> een</w:t>
            </w:r>
            <w:r w:rsidR="00EC5D70">
              <w:t xml:space="preserve"> derde </w:t>
            </w:r>
            <w:r w:rsidR="00584A7C">
              <w:t>is</w:t>
            </w:r>
            <w:r w:rsidR="00EC5D70">
              <w:t xml:space="preserve">, neemt de accountant dat op en dat kan hij in zijn rapport toelichten. </w:t>
            </w:r>
          </w:p>
        </w:tc>
      </w:tr>
      <w:tr w:rsidR="002E0C46" w:rsidTr="0088017F">
        <w:tc>
          <w:tcPr>
            <w:tcW w:w="421" w:type="dxa"/>
          </w:tcPr>
          <w:p w:rsidR="002E0C46" w:rsidRDefault="00444800" w:rsidP="002E0C46">
            <w:r>
              <w:t>3.</w:t>
            </w:r>
          </w:p>
        </w:tc>
        <w:tc>
          <w:tcPr>
            <w:tcW w:w="3543" w:type="dxa"/>
          </w:tcPr>
          <w:p w:rsidR="002E0C46" w:rsidRPr="00444800" w:rsidRDefault="00444800" w:rsidP="002E0C46">
            <w:pPr>
              <w:rPr>
                <w:b/>
              </w:rPr>
            </w:pPr>
            <w:r w:rsidRPr="00444800">
              <w:rPr>
                <w:b/>
              </w:rPr>
              <w:t>IDS kantoor</w:t>
            </w:r>
          </w:p>
          <w:p w:rsidR="00444800" w:rsidRDefault="00444800" w:rsidP="008F1B44">
            <w:r>
              <w:t xml:space="preserve">De </w:t>
            </w:r>
            <w:r w:rsidR="002B63A6">
              <w:t xml:space="preserve">wijze van uitvraag van de </w:t>
            </w:r>
            <w:r>
              <w:t xml:space="preserve">informatie is </w:t>
            </w:r>
            <w:r w:rsidR="002B63A6">
              <w:t xml:space="preserve">gewijzigd: </w:t>
            </w:r>
            <w:r w:rsidR="008F1B44">
              <w:t>er</w:t>
            </w:r>
            <w:r w:rsidR="002B63A6">
              <w:t xml:space="preserve"> was</w:t>
            </w:r>
            <w:r w:rsidR="008F1B44">
              <w:t xml:space="preserve"> veel</w:t>
            </w:r>
            <w:r w:rsidR="002B63A6">
              <w:t xml:space="preserve"> opgenomen in het model rapport, en dat is nu </w:t>
            </w:r>
            <w:r>
              <w:t>opgenomen in</w:t>
            </w:r>
            <w:r w:rsidR="002B63A6">
              <w:t xml:space="preserve"> een vragenlijst notaris (bijlage 4) en in de werkzaamheden (4.2b van de circulaire)</w:t>
            </w:r>
            <w:r w:rsidR="0088017F">
              <w:t>. Daarnaast</w:t>
            </w:r>
            <w:r w:rsidR="002B63A6">
              <w:t xml:space="preserve"> zijn de werkzaamheden explicieter gemaakt.</w:t>
            </w:r>
          </w:p>
        </w:tc>
        <w:tc>
          <w:tcPr>
            <w:tcW w:w="4820" w:type="dxa"/>
          </w:tcPr>
          <w:p w:rsidR="002E0C46" w:rsidRDefault="00444800" w:rsidP="002E0C46">
            <w:r>
              <w:t>Alleen indien sprake is van een interdisciplinaire samenwerking (samenwerkingsverband met beoefenaren van een ander beroep, conform de verordening interdisciplinaire samenwerking 2015) dienen de werkzaamheden onder paragraaf 4.2b van de circulaire uitgevoerd te worden en dient vraag 1 tot en met 6 van de vragenlijst notaris (bijlage 4) ingevuld te worden. Indien geen sprake is van een IDS kantoor, vervallen deze werkzaamheden.</w:t>
            </w:r>
          </w:p>
        </w:tc>
      </w:tr>
      <w:tr w:rsidR="002E0C46" w:rsidTr="0088017F">
        <w:tc>
          <w:tcPr>
            <w:tcW w:w="421" w:type="dxa"/>
          </w:tcPr>
          <w:p w:rsidR="002E0C46" w:rsidRDefault="00444800" w:rsidP="002E0C46">
            <w:r>
              <w:t>4.</w:t>
            </w:r>
          </w:p>
        </w:tc>
        <w:tc>
          <w:tcPr>
            <w:tcW w:w="3543" w:type="dxa"/>
          </w:tcPr>
          <w:p w:rsidR="002E0C46" w:rsidRPr="00AD08F5" w:rsidRDefault="00444800" w:rsidP="002E0C46">
            <w:pPr>
              <w:rPr>
                <w:b/>
              </w:rPr>
            </w:pPr>
            <w:r w:rsidRPr="00AD08F5">
              <w:rPr>
                <w:b/>
              </w:rPr>
              <w:t>Vragenlijst notaris</w:t>
            </w:r>
            <w:r w:rsidR="0088017F">
              <w:rPr>
                <w:b/>
              </w:rPr>
              <w:t xml:space="preserve"> (bijlage 4)</w:t>
            </w:r>
          </w:p>
          <w:p w:rsidR="00444800" w:rsidRDefault="00444800" w:rsidP="002E0C46">
            <w:r>
              <w:t xml:space="preserve">Informatie over </w:t>
            </w:r>
            <w:r w:rsidR="0088017F">
              <w:t xml:space="preserve">het </w:t>
            </w:r>
            <w:r>
              <w:t>IDS-kantoor en over 25</w:t>
            </w:r>
            <w:r w:rsidR="00584A7C">
              <w:t>a</w:t>
            </w:r>
            <w:r w:rsidR="00420ECA">
              <w:t xml:space="preserve"> </w:t>
            </w:r>
            <w:bookmarkStart w:id="0" w:name="_GoBack"/>
            <w:r w:rsidR="00420ECA">
              <w:t>Wn</w:t>
            </w:r>
            <w:r>
              <w:t>a</w:t>
            </w:r>
            <w:bookmarkEnd w:id="0"/>
            <w:r>
              <w:t xml:space="preserve"> meldingen zijn opgenomen in een vragen</w:t>
            </w:r>
            <w:r w:rsidR="0088017F">
              <w:t>lijst aan de notaris</w:t>
            </w:r>
            <w:r>
              <w:t>. Deze informatie was opgenomen in het model rapport</w:t>
            </w:r>
            <w:r w:rsidR="0088017F">
              <w:t>.</w:t>
            </w:r>
          </w:p>
        </w:tc>
        <w:tc>
          <w:tcPr>
            <w:tcW w:w="4820" w:type="dxa"/>
          </w:tcPr>
          <w:p w:rsidR="002E0C46" w:rsidRDefault="002B63A6" w:rsidP="002E0C46">
            <w:r>
              <w:t xml:space="preserve">Om te verduidelijken welke informatie de notaris aanlevert (vragenlijst) en wat de accountant hiermee doet is bijlage 4 opgenomen. Indien </w:t>
            </w:r>
            <w:r w:rsidRPr="002B63A6">
              <w:rPr>
                <w:u w:val="single"/>
              </w:rPr>
              <w:t>geen</w:t>
            </w:r>
            <w:r>
              <w:t xml:space="preserve"> sprake is van een IDS-kantoor, is alleen vraag 7 van </w:t>
            </w:r>
            <w:r w:rsidR="008F1B44">
              <w:t>de vragenlijst van</w:t>
            </w:r>
            <w:r w:rsidR="00584A7C">
              <w:t xml:space="preserve"> </w:t>
            </w:r>
            <w:r>
              <w:t>toepassing.</w:t>
            </w:r>
          </w:p>
        </w:tc>
      </w:tr>
    </w:tbl>
    <w:p w:rsidR="00444800" w:rsidRDefault="00444800"/>
    <w:p w:rsidR="00506AF9" w:rsidRDefault="00506AF9">
      <w:r>
        <w:t>Voor aanvullende toelichting of andere vragen over de circulaire kunt u uitera</w:t>
      </w:r>
      <w:r w:rsidR="0088017F">
        <w:t xml:space="preserve">ard contact opnemen met het Bureau Financieel Toezicht: </w:t>
      </w:r>
      <w:hyperlink r:id="rId8" w:history="1">
        <w:r w:rsidR="0088017F" w:rsidRPr="00D13B22">
          <w:rPr>
            <w:rStyle w:val="Hyperlink"/>
          </w:rPr>
          <w:t>bft.post@bureauft.nl</w:t>
        </w:r>
      </w:hyperlink>
      <w:r w:rsidR="0088017F">
        <w:t xml:space="preserve"> of 030-2516984</w:t>
      </w:r>
    </w:p>
    <w:sectPr w:rsidR="00506A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A2702" w:rsidRDefault="004A2702" w:rsidP="004A2702">
      <w:pPr>
        <w:spacing w:after="0" w:line="240" w:lineRule="auto"/>
      </w:pPr>
      <w:r>
        <w:separator/>
      </w:r>
    </w:p>
  </w:endnote>
  <w:endnote w:type="continuationSeparator" w:id="0">
    <w:p w:rsidR="004A2702" w:rsidRDefault="004A2702" w:rsidP="004A27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A2702" w:rsidRDefault="004A2702" w:rsidP="004A2702">
      <w:pPr>
        <w:spacing w:after="0" w:line="240" w:lineRule="auto"/>
      </w:pPr>
      <w:r>
        <w:separator/>
      </w:r>
    </w:p>
  </w:footnote>
  <w:footnote w:type="continuationSeparator" w:id="0">
    <w:p w:rsidR="004A2702" w:rsidRDefault="004A2702" w:rsidP="004A27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53124"/>
    <w:multiLevelType w:val="hybridMultilevel"/>
    <w:tmpl w:val="DD045C3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AFE"/>
    <w:rsid w:val="00150C50"/>
    <w:rsid w:val="0022332C"/>
    <w:rsid w:val="002B63A6"/>
    <w:rsid w:val="002E0C46"/>
    <w:rsid w:val="00420ECA"/>
    <w:rsid w:val="00444800"/>
    <w:rsid w:val="004A2702"/>
    <w:rsid w:val="004F0957"/>
    <w:rsid w:val="00506AF9"/>
    <w:rsid w:val="005450C9"/>
    <w:rsid w:val="00584A7C"/>
    <w:rsid w:val="005D558F"/>
    <w:rsid w:val="0088017F"/>
    <w:rsid w:val="008F1B44"/>
    <w:rsid w:val="00AD08F5"/>
    <w:rsid w:val="00D542A0"/>
    <w:rsid w:val="00D70AFE"/>
    <w:rsid w:val="00EC5D70"/>
    <w:rsid w:val="00EE1DD4"/>
    <w:rsid w:val="00FB24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FB575C"/>
  <w15:chartTrackingRefBased/>
  <w15:docId w15:val="{64EC2DBB-065C-465C-8A85-667A07B8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2E0C46"/>
    <w:pPr>
      <w:ind w:left="720"/>
      <w:contextualSpacing/>
    </w:pPr>
  </w:style>
  <w:style w:type="table" w:styleId="Tabelraster">
    <w:name w:val="Table Grid"/>
    <w:basedOn w:val="Standaardtabel"/>
    <w:uiPriority w:val="39"/>
    <w:rsid w:val="002E0C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oetnoottekst">
    <w:name w:val="footnote text"/>
    <w:basedOn w:val="Standaard"/>
    <w:link w:val="VoetnoottekstChar"/>
    <w:uiPriority w:val="99"/>
    <w:semiHidden/>
    <w:unhideWhenUsed/>
    <w:rsid w:val="004A2702"/>
    <w:pPr>
      <w:spacing w:after="0" w:line="240" w:lineRule="auto"/>
    </w:pPr>
    <w:rPr>
      <w:sz w:val="20"/>
      <w:szCs w:val="20"/>
    </w:rPr>
  </w:style>
  <w:style w:type="character" w:customStyle="1" w:styleId="VoetnoottekstChar">
    <w:name w:val="Voetnoottekst Char"/>
    <w:basedOn w:val="Standaardalinea-lettertype"/>
    <w:link w:val="Voetnoottekst"/>
    <w:uiPriority w:val="99"/>
    <w:semiHidden/>
    <w:rsid w:val="004A2702"/>
    <w:rPr>
      <w:sz w:val="20"/>
      <w:szCs w:val="20"/>
    </w:rPr>
  </w:style>
  <w:style w:type="character" w:styleId="Voetnootmarkering">
    <w:name w:val="footnote reference"/>
    <w:basedOn w:val="Standaardalinea-lettertype"/>
    <w:uiPriority w:val="99"/>
    <w:semiHidden/>
    <w:unhideWhenUsed/>
    <w:rsid w:val="004A2702"/>
    <w:rPr>
      <w:vertAlign w:val="superscript"/>
    </w:rPr>
  </w:style>
  <w:style w:type="paragraph" w:styleId="Ballontekst">
    <w:name w:val="Balloon Text"/>
    <w:basedOn w:val="Standaard"/>
    <w:link w:val="BallontekstChar"/>
    <w:uiPriority w:val="99"/>
    <w:semiHidden/>
    <w:unhideWhenUsed/>
    <w:rsid w:val="0088017F"/>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88017F"/>
    <w:rPr>
      <w:rFonts w:ascii="Segoe UI" w:hAnsi="Segoe UI" w:cs="Segoe UI"/>
      <w:sz w:val="18"/>
      <w:szCs w:val="18"/>
    </w:rPr>
  </w:style>
  <w:style w:type="character" w:styleId="Hyperlink">
    <w:name w:val="Hyperlink"/>
    <w:basedOn w:val="Standaardalinea-lettertype"/>
    <w:uiPriority w:val="99"/>
    <w:unhideWhenUsed/>
    <w:rsid w:val="0088017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ft.post@bureauft.n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1C4A89-AEF4-4796-A88E-E5CCCB167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477</Words>
  <Characters>2629</Characters>
  <Application>Microsoft Office Word</Application>
  <DocSecurity>4</DocSecurity>
  <Lines>21</Lines>
  <Paragraphs>6</Paragraphs>
  <ScaleCrop>false</ScaleCrop>
  <HeadingPairs>
    <vt:vector size="2" baseType="variant">
      <vt:variant>
        <vt:lpstr>Titel</vt:lpstr>
      </vt:variant>
      <vt:variant>
        <vt:i4>1</vt:i4>
      </vt:variant>
    </vt:vector>
  </HeadingPairs>
  <TitlesOfParts>
    <vt:vector size="1" baseType="lpstr">
      <vt:lpstr/>
    </vt:vector>
  </TitlesOfParts>
  <Company>Bureau Financieel Toezicht</Company>
  <LinksUpToDate>false</LinksUpToDate>
  <CharactersWithSpaces>3100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Hertog, Monique den</dc:creator>
  <cp:keywords/>
  <dc:description/>
  <cp:lastModifiedBy>Hertog, Monique den</cp:lastModifiedBy>
  <cp:revision>2</cp:revision>
  <cp:lastPrinted>2019-03-14T17:33:00Z</cp:lastPrinted>
  <dcterms:created xsi:type="dcterms:W3CDTF">2019-03-15T08:23:00Z</dcterms:created>
  <dcterms:modified xsi:type="dcterms:W3CDTF">2019-03-15T08:23:00Z</dcterms:modified>
</cp:coreProperties>
</file>